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946"/>
      </w:tblGrid>
      <w:tr w:rsidR="009E7AF3" w:rsidRPr="0049319C" w:rsidTr="003D5AE5">
        <w:tc>
          <w:tcPr>
            <w:tcW w:w="1998" w:type="dxa"/>
            <w:shd w:val="clear" w:color="auto" w:fill="auto"/>
          </w:tcPr>
          <w:p w:rsidR="009E7AF3" w:rsidRPr="0049319C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49319C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Titlul proiectului </w:t>
            </w:r>
          </w:p>
        </w:tc>
        <w:tc>
          <w:tcPr>
            <w:tcW w:w="7946" w:type="dxa"/>
            <w:shd w:val="clear" w:color="auto" w:fill="auto"/>
          </w:tcPr>
          <w:p w:rsidR="009E7AF3" w:rsidRPr="0049319C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49319C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 xml:space="preserve">Îmbunătățiri inovative în sistemul de achiziții publice din Republica Moldova prin incluziune, creativitate și practici de respectare a legislației </w:t>
            </w:r>
          </w:p>
        </w:tc>
      </w:tr>
      <w:tr w:rsidR="009E7AF3" w:rsidRPr="0049319C" w:rsidTr="003D5AE5">
        <w:tc>
          <w:tcPr>
            <w:tcW w:w="1998" w:type="dxa"/>
            <w:shd w:val="clear" w:color="auto" w:fill="auto"/>
          </w:tcPr>
          <w:p w:rsidR="009E7AF3" w:rsidRPr="0049319C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49319C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 xml:space="preserve">Organisation </w:t>
            </w:r>
          </w:p>
        </w:tc>
        <w:tc>
          <w:tcPr>
            <w:tcW w:w="7946" w:type="dxa"/>
            <w:shd w:val="clear" w:color="auto" w:fill="auto"/>
          </w:tcPr>
          <w:p w:rsidR="009E7AF3" w:rsidRPr="0049319C" w:rsidRDefault="009E7AF3" w:rsidP="009E7AF3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</w:pPr>
            <w:r w:rsidRPr="0049319C">
              <w:rPr>
                <w:rFonts w:ascii="Times New Roman" w:hAnsi="Times New Roman"/>
                <w:b/>
                <w:noProof/>
                <w:sz w:val="24"/>
                <w:szCs w:val="24"/>
                <w:lang w:val="en-GB"/>
              </w:rPr>
              <w:t>Institutul pentru Dezvoltare si Initiative Sociale (IDIS) “Viitorul”</w:t>
            </w:r>
          </w:p>
        </w:tc>
      </w:tr>
    </w:tbl>
    <w:p w:rsidR="009E7AF3" w:rsidRPr="0049319C" w:rsidRDefault="009E7AF3" w:rsidP="000148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4"/>
          <w:szCs w:val="24"/>
          <w:lang w:val="ro-RO"/>
        </w:rPr>
      </w:pPr>
    </w:p>
    <w:p w:rsidR="009E7AF3" w:rsidRPr="0049319C" w:rsidRDefault="009E7AF3" w:rsidP="009E7AF3">
      <w:pPr>
        <w:jc w:val="center"/>
        <w:rPr>
          <w:rFonts w:ascii="Times New Roman" w:hAnsi="Times New Roman"/>
          <w:b/>
          <w:noProof/>
          <w:sz w:val="24"/>
          <w:szCs w:val="24"/>
          <w:lang w:val="en-GB"/>
        </w:rPr>
      </w:pPr>
      <w:r w:rsidRPr="0049319C">
        <w:rPr>
          <w:rFonts w:ascii="Times New Roman" w:hAnsi="Times New Roman"/>
          <w:b/>
          <w:noProof/>
          <w:sz w:val="24"/>
          <w:szCs w:val="24"/>
          <w:lang w:val="en-GB"/>
        </w:rPr>
        <w:t>Job description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7676"/>
      </w:tblGrid>
      <w:tr w:rsidR="00BE5B97" w:rsidRPr="0049319C" w:rsidTr="0049319C">
        <w:tc>
          <w:tcPr>
            <w:tcW w:w="2178" w:type="dxa"/>
          </w:tcPr>
          <w:p w:rsidR="00BE5B97" w:rsidRPr="0049319C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Denumirea </w:t>
            </w:r>
            <w:r w:rsidR="00B37404" w:rsidRPr="0049319C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Funcției</w:t>
            </w:r>
          </w:p>
        </w:tc>
        <w:tc>
          <w:tcPr>
            <w:tcW w:w="7676" w:type="dxa"/>
          </w:tcPr>
          <w:p w:rsidR="00BE5B97" w:rsidRPr="0049319C" w:rsidRDefault="0049319C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Coordonator pe monitorizarea </w:t>
            </w:r>
            <w:proofErr w:type="spellStart"/>
            <w:r w:rsidRPr="0049319C">
              <w:rPr>
                <w:rFonts w:ascii="Times New Roman" w:hAnsi="Times New Roman"/>
                <w:sz w:val="24"/>
                <w:szCs w:val="24"/>
                <w:lang w:val="ro-RO"/>
              </w:rPr>
              <w:t>achizitiilor</w:t>
            </w:r>
            <w:proofErr w:type="spellEnd"/>
            <w:r w:rsidRPr="0049319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publice</w:t>
            </w:r>
          </w:p>
        </w:tc>
      </w:tr>
      <w:tr w:rsidR="00BE5B97" w:rsidRPr="0049319C" w:rsidTr="0049319C">
        <w:tc>
          <w:tcPr>
            <w:tcW w:w="2178" w:type="dxa"/>
          </w:tcPr>
          <w:p w:rsidR="00BE5B97" w:rsidRPr="0049319C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Nivelul </w:t>
            </w:r>
            <w:r w:rsidR="00B37404" w:rsidRPr="0049319C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funcției</w:t>
            </w:r>
          </w:p>
        </w:tc>
        <w:tc>
          <w:tcPr>
            <w:tcW w:w="7676" w:type="dxa"/>
          </w:tcPr>
          <w:p w:rsidR="00BE5B97" w:rsidRPr="0049319C" w:rsidRDefault="00BE5B97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Administrativa</w:t>
            </w:r>
            <w:r w:rsidR="0049319C"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si expertiza</w:t>
            </w:r>
          </w:p>
        </w:tc>
      </w:tr>
      <w:tr w:rsidR="00BE5B97" w:rsidRPr="0049319C" w:rsidTr="0049319C">
        <w:tc>
          <w:tcPr>
            <w:tcW w:w="2178" w:type="dxa"/>
          </w:tcPr>
          <w:p w:rsidR="00BE5B97" w:rsidRPr="0049319C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Scopul general al funcţiei:</w:t>
            </w:r>
          </w:p>
          <w:p w:rsidR="00BE5B97" w:rsidRPr="0049319C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7676" w:type="dxa"/>
          </w:tcPr>
          <w:p w:rsidR="00BE5B97" w:rsidRPr="0049319C" w:rsidRDefault="0049319C" w:rsidP="00E83C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Implementarea cu succes a activităților proiectului si atingerii rezultatelor planificate in proiect.</w:t>
            </w:r>
          </w:p>
        </w:tc>
      </w:tr>
      <w:tr w:rsidR="00BE5B97" w:rsidRPr="0049319C" w:rsidTr="0049319C">
        <w:tc>
          <w:tcPr>
            <w:tcW w:w="2178" w:type="dxa"/>
          </w:tcPr>
          <w:p w:rsidR="00BE5B97" w:rsidRPr="0049319C" w:rsidRDefault="00BE5B97" w:rsidP="00BE5B97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Sarcinile de bază: </w:t>
            </w:r>
          </w:p>
          <w:p w:rsidR="00BE5B97" w:rsidRPr="0049319C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7676" w:type="dxa"/>
          </w:tcPr>
          <w:p w:rsidR="0049319C" w:rsidRPr="0049319C" w:rsidRDefault="0049319C" w:rsidP="004931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1.Coordonează monitorizează activitățile proiectului legate de procesul de achiziții, stabilește relații de lucru și optimizează implicarea experților contractați de IDIS în cadrul proiectului.</w:t>
            </w:r>
          </w:p>
          <w:p w:rsidR="0049319C" w:rsidRPr="0049319C" w:rsidRDefault="0049319C" w:rsidP="004931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2.Asigură coordonarea activităților legate de monitorizare, dezbateri publice, lansare de produse și alte evenimente prevăzute de proiect, fiind totodată responsabil direct de analiza de date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, monitorizarea contractelor, r</w:t>
            </w: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aportarea asupra acestor acțiuni managerului de proiect.</w:t>
            </w:r>
          </w:p>
          <w:p w:rsidR="00BE5B97" w:rsidRPr="0049319C" w:rsidRDefault="0049319C" w:rsidP="00E83C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3.Dezvoltă recomandări și participă direct la discuțiile legate de procesul de achiziții, fiind responsabil de o parte din livrabilele prevăzute de proiect (modulul de instruire, ghidul de monit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or</w:t>
            </w: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izare, rapoartele de evaluare, elaborarea recomandărilor).</w:t>
            </w:r>
          </w:p>
        </w:tc>
      </w:tr>
      <w:tr w:rsidR="00BE5B97" w:rsidRPr="0049319C" w:rsidTr="0049319C">
        <w:tc>
          <w:tcPr>
            <w:tcW w:w="2178" w:type="dxa"/>
          </w:tcPr>
          <w:p w:rsidR="00BE5B97" w:rsidRPr="0049319C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Responsabilităţile:</w:t>
            </w:r>
          </w:p>
          <w:p w:rsidR="00BE5B97" w:rsidRPr="0049319C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7676" w:type="dxa"/>
          </w:tcPr>
          <w:p w:rsidR="0049319C" w:rsidRPr="0049319C" w:rsidRDefault="0049319C" w:rsidP="0049319C">
            <w:pPr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monitorizarea procesului de achiziții., comunicarea cu expe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rții contractați,stabilirea și </w:t>
            </w: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monitorizarea </w:t>
            </w:r>
            <w:proofErr w:type="spellStart"/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imputurilor</w:t>
            </w:r>
            <w:proofErr w:type="spellEnd"/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planificate, </w:t>
            </w:r>
          </w:p>
          <w:p w:rsidR="0049319C" w:rsidRPr="0049319C" w:rsidRDefault="0049319C" w:rsidP="0049319C">
            <w:pPr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planificarea și desfășurarea de mese rotunde discuții publice pe tematica achiz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i</w:t>
            </w: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țiilor, alte evenimente, monitorizarea procesului de achiziții publice</w:t>
            </w:r>
          </w:p>
          <w:p w:rsidR="0049319C" w:rsidRPr="0049319C" w:rsidRDefault="0049319C" w:rsidP="0049319C">
            <w:pPr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coordonarea implementării produ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selor și serviciilor de inst</w:t>
            </w: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ruire planificate, dar și informarea preventivă asupra calendarului de activități în cadrul proiectului.</w:t>
            </w:r>
          </w:p>
          <w:p w:rsidR="0049319C" w:rsidRPr="0049319C" w:rsidRDefault="0049319C" w:rsidP="0049319C">
            <w:pPr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evaluarea politicilor statului în domeniul achizițiilor publice și reacționarea la teme care direct sau indirect afectează desfășurarea evenimentelor legate de procesul de achiziții</w:t>
            </w:r>
          </w:p>
          <w:p w:rsidR="0049319C" w:rsidRPr="0049319C" w:rsidRDefault="0049319C" w:rsidP="0049319C">
            <w:pPr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elaborează și asigură monitorizarea unui modulul de instruire pe achiziții publice</w:t>
            </w:r>
          </w:p>
          <w:p w:rsidR="00BE5B97" w:rsidRPr="0049319C" w:rsidRDefault="0049319C" w:rsidP="0049319C">
            <w:pPr>
              <w:ind w:left="61"/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-  Dezvoltă recomandări și participă direct la discuțiile legate de procesul de achiziții, fiind responsabil de o parte din livrabilele prevăzute de proiect (modulul de instruire, ghidul de monit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ori</w:t>
            </w: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zare, rapoartele de evalua</w:t>
            </w: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re, elaborarea recomandărilor).</w:t>
            </w:r>
          </w:p>
        </w:tc>
      </w:tr>
      <w:tr w:rsidR="00BE5B97" w:rsidRPr="0049319C" w:rsidTr="0049319C">
        <w:tc>
          <w:tcPr>
            <w:tcW w:w="2178" w:type="dxa"/>
          </w:tcPr>
          <w:p w:rsidR="00BE5B97" w:rsidRPr="0049319C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  <w:r w:rsidRPr="0049319C"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  <w:t>Mijloacele de lucru/echipamentul utilizat:</w:t>
            </w:r>
          </w:p>
          <w:p w:rsidR="00BE5B97" w:rsidRPr="0049319C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</w:p>
        </w:tc>
        <w:tc>
          <w:tcPr>
            <w:tcW w:w="7676" w:type="dxa"/>
          </w:tcPr>
          <w:p w:rsidR="0049319C" w:rsidRPr="0049319C" w:rsidRDefault="0049319C" w:rsidP="0049319C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Aplicații specializate pentru planificarea și monitorizarea proiectului (ex: Microsoft </w:t>
            </w:r>
            <w:proofErr w:type="spellStart"/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project</w:t>
            </w:r>
            <w:proofErr w:type="spellEnd"/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, Agile, CPM, WBS etc.);</w:t>
            </w:r>
          </w:p>
          <w:p w:rsidR="0049319C" w:rsidRPr="0049319C" w:rsidRDefault="0049319C" w:rsidP="0049319C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Aplicații </w:t>
            </w:r>
            <w:proofErr w:type="spellStart"/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office</w:t>
            </w:r>
            <w:proofErr w:type="spellEnd"/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(Excel, Microsoft, </w:t>
            </w:r>
            <w:proofErr w:type="spellStart"/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Powerpoint</w:t>
            </w:r>
            <w:proofErr w:type="spellEnd"/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);</w:t>
            </w:r>
          </w:p>
          <w:p w:rsidR="0049319C" w:rsidRPr="0049319C" w:rsidRDefault="0049319C" w:rsidP="0049319C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Computer, imprimantă, telefon, scaner, fax, copiator;</w:t>
            </w:r>
          </w:p>
          <w:p w:rsidR="0049319C" w:rsidRPr="0049319C" w:rsidRDefault="0049319C" w:rsidP="0049319C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Internet;</w:t>
            </w:r>
          </w:p>
          <w:p w:rsidR="00BE5B97" w:rsidRPr="0049319C" w:rsidRDefault="0049319C" w:rsidP="0049319C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Alte aplicații (</w:t>
            </w:r>
            <w:proofErr w:type="spellStart"/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dropbox</w:t>
            </w:r>
            <w:proofErr w:type="spellEnd"/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, </w:t>
            </w:r>
            <w:proofErr w:type="spellStart"/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google</w:t>
            </w:r>
            <w:proofErr w:type="spellEnd"/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drive).</w:t>
            </w:r>
          </w:p>
        </w:tc>
      </w:tr>
      <w:tr w:rsidR="00BE5B97" w:rsidRPr="0049319C" w:rsidTr="0049319C">
        <w:tc>
          <w:tcPr>
            <w:tcW w:w="2178" w:type="dxa"/>
          </w:tcPr>
          <w:p w:rsidR="00BE5B97" w:rsidRPr="0049319C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</w:pPr>
            <w:r w:rsidRPr="0049319C">
              <w:rPr>
                <w:rFonts w:ascii="Times New Roman" w:eastAsia="Times New Roman" w:hAnsi="Times New Roman"/>
                <w:b/>
                <w:sz w:val="24"/>
                <w:szCs w:val="24"/>
                <w:lang w:val="ro-MO" w:eastAsia="ru-RU"/>
              </w:rPr>
              <w:t>Condiţiile de muncă:</w:t>
            </w:r>
          </w:p>
          <w:p w:rsidR="00BE5B97" w:rsidRPr="0049319C" w:rsidRDefault="00BE5B97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7676" w:type="dxa"/>
          </w:tcPr>
          <w:p w:rsidR="00BE5B97" w:rsidRPr="0049319C" w:rsidRDefault="0049319C" w:rsidP="00BE5B97">
            <w:pPr>
              <w:numPr>
                <w:ilvl w:val="0"/>
                <w:numId w:val="6"/>
              </w:numPr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Regim de muncă: 7</w:t>
            </w:r>
            <w:r w:rsidR="00BE5B97"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0 % din cele 30 de luni (</w:t>
            </w: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>21</w:t>
            </w:r>
            <w:r w:rsidR="00BE5B97"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 luni) pe parcursul desfășurării proiectului (07/03/2017 - 06/09/2019)</w:t>
            </w:r>
          </w:p>
          <w:p w:rsidR="00BE5B97" w:rsidRPr="0049319C" w:rsidRDefault="00BE5B97" w:rsidP="00BE5B9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MO" w:eastAsia="ru-RU"/>
              </w:rPr>
              <w:t xml:space="preserve">Activitate flexibilă. </w:t>
            </w:r>
          </w:p>
        </w:tc>
      </w:tr>
      <w:tr w:rsidR="00BE5B97" w:rsidRPr="0049319C" w:rsidTr="0049319C">
        <w:tc>
          <w:tcPr>
            <w:tcW w:w="2178" w:type="dxa"/>
          </w:tcPr>
          <w:p w:rsidR="00BE5B97" w:rsidRPr="0049319C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Studii:</w:t>
            </w:r>
          </w:p>
        </w:tc>
        <w:tc>
          <w:tcPr>
            <w:tcW w:w="7676" w:type="dxa"/>
          </w:tcPr>
          <w:p w:rsidR="00BE5B97" w:rsidRPr="0049319C" w:rsidRDefault="00E83CA1" w:rsidP="004931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Superioare de specialitate </w:t>
            </w:r>
          </w:p>
        </w:tc>
      </w:tr>
      <w:tr w:rsidR="00BE5B97" w:rsidRPr="0049319C" w:rsidTr="0049319C">
        <w:tc>
          <w:tcPr>
            <w:tcW w:w="2178" w:type="dxa"/>
          </w:tcPr>
          <w:p w:rsidR="00BE5B97" w:rsidRPr="0049319C" w:rsidRDefault="00B37404" w:rsidP="0049319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lastRenderedPageBreak/>
              <w:t xml:space="preserve">Experienţă </w:t>
            </w:r>
            <w:bookmarkStart w:id="0" w:name="_GoBack"/>
            <w:bookmarkEnd w:id="0"/>
          </w:p>
        </w:tc>
        <w:tc>
          <w:tcPr>
            <w:tcW w:w="7676" w:type="dxa"/>
          </w:tcPr>
          <w:p w:rsidR="00BE5B97" w:rsidRPr="0049319C" w:rsidRDefault="00E83CA1" w:rsidP="004931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Minimum </w:t>
            </w:r>
            <w:r w:rsidR="0049319C"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5</w:t>
            </w: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ani </w:t>
            </w:r>
          </w:p>
        </w:tc>
      </w:tr>
      <w:tr w:rsidR="00B37404" w:rsidRPr="0049319C" w:rsidTr="0049319C">
        <w:tc>
          <w:tcPr>
            <w:tcW w:w="2178" w:type="dxa"/>
          </w:tcPr>
          <w:p w:rsidR="00B37404" w:rsidRPr="0049319C" w:rsidRDefault="00B37404" w:rsidP="00B3740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Cunoştinţe: </w:t>
            </w:r>
          </w:p>
          <w:p w:rsidR="00B37404" w:rsidRPr="0049319C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7676" w:type="dxa"/>
          </w:tcPr>
          <w:p w:rsidR="0049319C" w:rsidRPr="0049319C" w:rsidRDefault="0049319C" w:rsidP="0049319C">
            <w:pPr>
              <w:numPr>
                <w:ilvl w:val="0"/>
                <w:numId w:val="7"/>
              </w:numPr>
              <w:tabs>
                <w:tab w:val="clear" w:pos="1080"/>
                <w:tab w:val="num" w:pos="151"/>
              </w:tabs>
              <w:ind w:left="151" w:hanging="1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Cunoaşterea legislaţiei RM;</w:t>
            </w:r>
          </w:p>
          <w:p w:rsidR="0049319C" w:rsidRPr="0049319C" w:rsidRDefault="0049319C" w:rsidP="0049319C">
            <w:pPr>
              <w:numPr>
                <w:ilvl w:val="0"/>
                <w:numId w:val="7"/>
              </w:numPr>
              <w:tabs>
                <w:tab w:val="clear" w:pos="1080"/>
                <w:tab w:val="num" w:pos="151"/>
              </w:tabs>
              <w:ind w:left="151" w:hanging="1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Cunoaşterea limbii de stat şi rusă, cunoaşterea limbilor de circulaţie internaţională constituie avantaj;</w:t>
            </w:r>
          </w:p>
          <w:p w:rsidR="0049319C" w:rsidRPr="0049319C" w:rsidRDefault="0049319C" w:rsidP="0049319C">
            <w:pPr>
              <w:numPr>
                <w:ilvl w:val="0"/>
                <w:numId w:val="7"/>
              </w:numPr>
              <w:tabs>
                <w:tab w:val="clear" w:pos="1080"/>
                <w:tab w:val="num" w:pos="151"/>
              </w:tabs>
              <w:ind w:left="151" w:hanging="1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Cunoştinţe de operare la calculator: Word, Excel, Internet;</w:t>
            </w:r>
          </w:p>
          <w:p w:rsidR="0049319C" w:rsidRPr="0049319C" w:rsidRDefault="0049319C" w:rsidP="0049319C">
            <w:pPr>
              <w:numPr>
                <w:ilvl w:val="0"/>
                <w:numId w:val="7"/>
              </w:numPr>
              <w:tabs>
                <w:tab w:val="clear" w:pos="1080"/>
                <w:tab w:val="num" w:pos="151"/>
              </w:tabs>
              <w:ind w:left="151" w:hanging="1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și respectarea prevederilor din Standardul Ocupațional din Republica Moldova;</w:t>
            </w:r>
          </w:p>
          <w:p w:rsidR="0049319C" w:rsidRPr="0049319C" w:rsidRDefault="0049319C" w:rsidP="0049319C">
            <w:pPr>
              <w:numPr>
                <w:ilvl w:val="0"/>
                <w:numId w:val="7"/>
              </w:numPr>
              <w:tabs>
                <w:tab w:val="clear" w:pos="1080"/>
                <w:tab w:val="num" w:pos="151"/>
              </w:tabs>
              <w:ind w:left="151" w:hanging="1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și respectarea prevederilor din standardul Internațional de proiect management;</w:t>
            </w:r>
          </w:p>
          <w:p w:rsidR="0049319C" w:rsidRPr="0049319C" w:rsidRDefault="0049319C" w:rsidP="0049319C">
            <w:pPr>
              <w:numPr>
                <w:ilvl w:val="0"/>
                <w:numId w:val="7"/>
              </w:numPr>
              <w:tabs>
                <w:tab w:val="clear" w:pos="1080"/>
                <w:tab w:val="num" w:pos="151"/>
              </w:tabs>
              <w:ind w:left="151" w:hanging="1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legislației privind derularea proiectelor în anumite domenii, dacă este cazul;</w:t>
            </w:r>
          </w:p>
          <w:p w:rsidR="0049319C" w:rsidRPr="0049319C" w:rsidRDefault="0049319C" w:rsidP="0049319C">
            <w:pPr>
              <w:numPr>
                <w:ilvl w:val="0"/>
                <w:numId w:val="7"/>
              </w:numPr>
              <w:tabs>
                <w:tab w:val="clear" w:pos="1080"/>
                <w:tab w:val="num" w:pos="151"/>
              </w:tabs>
              <w:ind w:left="151" w:hanging="1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principiilor de bază privind contractele;</w:t>
            </w:r>
          </w:p>
          <w:p w:rsidR="0049319C" w:rsidRPr="0049319C" w:rsidRDefault="0049319C" w:rsidP="0049319C">
            <w:pPr>
              <w:numPr>
                <w:ilvl w:val="0"/>
                <w:numId w:val="7"/>
              </w:numPr>
              <w:tabs>
                <w:tab w:val="clear" w:pos="1080"/>
                <w:tab w:val="num" w:pos="151"/>
              </w:tabs>
              <w:ind w:left="151" w:hanging="1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Cunoașterea procedurilor de lansare a cererilor de ofertă, de primire, Cunoașterea sistemului de control financiar;</w:t>
            </w:r>
          </w:p>
          <w:p w:rsidR="0049319C" w:rsidRPr="0049319C" w:rsidRDefault="0049319C" w:rsidP="0049319C">
            <w:pPr>
              <w:numPr>
                <w:ilvl w:val="0"/>
                <w:numId w:val="7"/>
              </w:numPr>
              <w:tabs>
                <w:tab w:val="clear" w:pos="1080"/>
                <w:tab w:val="num" w:pos="151"/>
              </w:tabs>
              <w:ind w:left="151" w:hanging="1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Cunoașterea metodelor și procedurilor de asigurare a calității, aplicabile în domeniul proiectului; </w:t>
            </w:r>
          </w:p>
          <w:p w:rsidR="0049319C" w:rsidRPr="0049319C" w:rsidRDefault="0049319C" w:rsidP="0049319C">
            <w:pPr>
              <w:numPr>
                <w:ilvl w:val="0"/>
                <w:numId w:val="7"/>
              </w:numPr>
              <w:tabs>
                <w:tab w:val="clear" w:pos="1080"/>
                <w:tab w:val="num" w:pos="151"/>
              </w:tabs>
              <w:ind w:left="151" w:hanging="1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Posedă aptitudini de inter-relaționare, de a conduce și de a motiva oamenii;</w:t>
            </w:r>
          </w:p>
          <w:p w:rsidR="0049319C" w:rsidRPr="0049319C" w:rsidRDefault="0049319C" w:rsidP="0049319C">
            <w:pPr>
              <w:numPr>
                <w:ilvl w:val="0"/>
                <w:numId w:val="7"/>
              </w:numPr>
              <w:tabs>
                <w:tab w:val="clear" w:pos="1080"/>
                <w:tab w:val="num" w:pos="151"/>
              </w:tabs>
              <w:ind w:left="151" w:hanging="1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Posedă aptitudini de planificare, organizare și control al activității;</w:t>
            </w:r>
          </w:p>
          <w:p w:rsidR="00B37404" w:rsidRPr="0049319C" w:rsidRDefault="0049319C" w:rsidP="0049319C">
            <w:pPr>
              <w:numPr>
                <w:ilvl w:val="0"/>
                <w:numId w:val="7"/>
              </w:numPr>
              <w:tabs>
                <w:tab w:val="clear" w:pos="1080"/>
                <w:tab w:val="num" w:pos="151"/>
              </w:tabs>
              <w:ind w:left="151" w:hanging="151"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Posedă aptitudini de luare de decizii și are inițiativă.</w:t>
            </w:r>
          </w:p>
        </w:tc>
      </w:tr>
      <w:tr w:rsidR="00B37404" w:rsidRPr="0049319C" w:rsidTr="0049319C">
        <w:tc>
          <w:tcPr>
            <w:tcW w:w="2178" w:type="dxa"/>
          </w:tcPr>
          <w:p w:rsidR="00B37404" w:rsidRPr="0049319C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Abilităţi:</w:t>
            </w:r>
          </w:p>
        </w:tc>
        <w:tc>
          <w:tcPr>
            <w:tcW w:w="7676" w:type="dxa"/>
          </w:tcPr>
          <w:p w:rsidR="00B37404" w:rsidRPr="0049319C" w:rsidRDefault="00B37404" w:rsidP="00BE5B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De comunicare,</w:t>
            </w:r>
            <w:r w:rsidRPr="0049319C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de lucru cu informaţia, organizare, elaborare a documentelor, prezentare, instruire, motivare, mobilizare de sine, soluţionare de probleme, aplanare de conflicte; </w:t>
            </w:r>
            <w:r w:rsidRPr="00493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capacitate de </w:t>
            </w: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concentrare, analiză și sinteză; capacitate de previziune a evenimentelor; abilitați de negociere; capacitatea de a redacta rapoarte clare si corecte; adaptabilitate la sarcini de lucru schimbătoare, la situații de criza.</w:t>
            </w:r>
          </w:p>
        </w:tc>
      </w:tr>
      <w:tr w:rsidR="00BE5B97" w:rsidRPr="0049319C" w:rsidTr="0049319C">
        <w:tc>
          <w:tcPr>
            <w:tcW w:w="2178" w:type="dxa"/>
          </w:tcPr>
          <w:p w:rsidR="00BE5B97" w:rsidRPr="0049319C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Atitudini/comportamente:</w:t>
            </w:r>
          </w:p>
        </w:tc>
        <w:tc>
          <w:tcPr>
            <w:tcW w:w="7676" w:type="dxa"/>
          </w:tcPr>
          <w:p w:rsidR="00BE5B97" w:rsidRPr="0049319C" w:rsidRDefault="00B37404" w:rsidP="00BE5B9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49319C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respect faţă de oameni, spirit de iniţiativă, diplomaţie, creativitate, flexibilitate, disciplină, responsabilitate, rezistentă la efort şi stres, tendinţă spre dezvoltare profesională continuă.</w:t>
            </w:r>
          </w:p>
        </w:tc>
      </w:tr>
    </w:tbl>
    <w:p w:rsidR="002A53C2" w:rsidRPr="0049319C" w:rsidRDefault="002A53C2" w:rsidP="000148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9319C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CF1A003" wp14:editId="4C944C8F">
            <wp:extent cx="1981200" cy="1009650"/>
            <wp:effectExtent l="0" t="0" r="0" b="0"/>
            <wp:docPr id="4" name="Imagine 4" descr="C:\Users\user\Desktop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  <w:gridCol w:w="222"/>
      </w:tblGrid>
      <w:tr w:rsidR="008C508A" w:rsidRPr="0049319C" w:rsidTr="002A53C2">
        <w:trPr>
          <w:trHeight w:val="4226"/>
        </w:trPr>
        <w:tc>
          <w:tcPr>
            <w:tcW w:w="9632" w:type="dxa"/>
          </w:tcPr>
          <w:p w:rsidR="008C508A" w:rsidRPr="0049319C" w:rsidRDefault="008C508A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8C508A" w:rsidRPr="0049319C" w:rsidRDefault="002A53C2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9319C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6EE7DABA" wp14:editId="4FBF045C">
                  <wp:extent cx="6115050" cy="1133475"/>
                  <wp:effectExtent l="0" t="0" r="0" b="0"/>
                  <wp:docPr id="2" name="Imagine 2" descr="C:\Users\user\Desktop\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8C508A" w:rsidRPr="0049319C" w:rsidRDefault="008C508A" w:rsidP="000148E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4735EA" w:rsidRPr="0049319C" w:rsidRDefault="004735EA" w:rsidP="0049319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sectPr w:rsidR="004735EA" w:rsidRPr="0049319C" w:rsidSect="00E12A55">
      <w:headerReference w:type="default" r:id="rId10"/>
      <w:footerReference w:type="even" r:id="rId11"/>
      <w:footerReference w:type="default" r:id="rId12"/>
      <w:pgSz w:w="11906" w:h="16838"/>
      <w:pgMar w:top="993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4E" w:rsidRDefault="00031E4E" w:rsidP="008263E5">
      <w:pPr>
        <w:spacing w:after="0" w:line="240" w:lineRule="auto"/>
      </w:pPr>
      <w:r>
        <w:separator/>
      </w:r>
    </w:p>
  </w:endnote>
  <w:endnote w:type="continuationSeparator" w:id="0">
    <w:p w:rsidR="00031E4E" w:rsidRDefault="00031E4E" w:rsidP="008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CA" w:rsidRDefault="0057161C" w:rsidP="002315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15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5CA" w:rsidRDefault="002315CA" w:rsidP="002315C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CA" w:rsidRPr="003B1558" w:rsidRDefault="002315CA" w:rsidP="002315CA">
    <w:pPr>
      <w:pStyle w:val="Footer"/>
      <w:spacing w:after="0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4E" w:rsidRDefault="00031E4E" w:rsidP="008263E5">
      <w:pPr>
        <w:spacing w:after="0" w:line="240" w:lineRule="auto"/>
      </w:pPr>
      <w:r>
        <w:separator/>
      </w:r>
    </w:p>
  </w:footnote>
  <w:footnote w:type="continuationSeparator" w:id="0">
    <w:p w:rsidR="00031E4E" w:rsidRDefault="00031E4E" w:rsidP="0082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5CA" w:rsidRDefault="002315CA" w:rsidP="002315CA">
    <w:pPr>
      <w:pStyle w:val="Header"/>
      <w:ind w:left="-1260"/>
    </w:pPr>
    <w:r>
      <w:rPr>
        <w:noProof/>
      </w:rPr>
      <w:drawing>
        <wp:inline distT="0" distB="0" distL="0" distR="0">
          <wp:extent cx="8686800" cy="1419225"/>
          <wp:effectExtent l="0" t="0" r="0" b="9525"/>
          <wp:docPr id="3" name="Picture 3" descr="header-press-release-blue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header-press-release-blue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12B"/>
    <w:multiLevelType w:val="hybridMultilevel"/>
    <w:tmpl w:val="70806BDE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54500"/>
    <w:multiLevelType w:val="hybridMultilevel"/>
    <w:tmpl w:val="0C208D54"/>
    <w:lvl w:ilvl="0" w:tplc="4C7496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15AA"/>
    <w:multiLevelType w:val="hybridMultilevel"/>
    <w:tmpl w:val="C002B47E"/>
    <w:lvl w:ilvl="0" w:tplc="D9C87C28">
      <w:numFmt w:val="bullet"/>
      <w:lvlText w:val="-"/>
      <w:lvlJc w:val="left"/>
      <w:pPr>
        <w:tabs>
          <w:tab w:val="num" w:pos="1460"/>
        </w:tabs>
        <w:ind w:left="14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967E5"/>
    <w:multiLevelType w:val="hybridMultilevel"/>
    <w:tmpl w:val="70B08384"/>
    <w:lvl w:ilvl="0" w:tplc="4A24B4E6">
      <w:start w:val="5"/>
      <w:numFmt w:val="bullet"/>
      <w:lvlText w:val="–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30C3EBA"/>
    <w:multiLevelType w:val="hybridMultilevel"/>
    <w:tmpl w:val="6958E05A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C83C5F"/>
    <w:multiLevelType w:val="hybridMultilevel"/>
    <w:tmpl w:val="8818AA28"/>
    <w:lvl w:ilvl="0" w:tplc="F120E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0670"/>
    <w:multiLevelType w:val="hybridMultilevel"/>
    <w:tmpl w:val="56C88946"/>
    <w:lvl w:ilvl="0" w:tplc="D9C87C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48214B"/>
    <w:multiLevelType w:val="hybridMultilevel"/>
    <w:tmpl w:val="ECAE8F72"/>
    <w:lvl w:ilvl="0" w:tplc="F120EF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57C5C"/>
    <w:multiLevelType w:val="hybridMultilevel"/>
    <w:tmpl w:val="4B848B36"/>
    <w:lvl w:ilvl="0" w:tplc="D9C87C28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820"/>
        </w:tabs>
        <w:ind w:left="182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9">
    <w:nsid w:val="6B4506E5"/>
    <w:multiLevelType w:val="multilevel"/>
    <w:tmpl w:val="AC7A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E74"/>
    <w:rsid w:val="00004EE9"/>
    <w:rsid w:val="000148E0"/>
    <w:rsid w:val="00025C2F"/>
    <w:rsid w:val="00031E4E"/>
    <w:rsid w:val="00043268"/>
    <w:rsid w:val="00056A02"/>
    <w:rsid w:val="00056AE0"/>
    <w:rsid w:val="00065C22"/>
    <w:rsid w:val="0006794F"/>
    <w:rsid w:val="000B1D15"/>
    <w:rsid w:val="000B7D75"/>
    <w:rsid w:val="00102E74"/>
    <w:rsid w:val="00114420"/>
    <w:rsid w:val="00116295"/>
    <w:rsid w:val="00122358"/>
    <w:rsid w:val="00133874"/>
    <w:rsid w:val="0015457B"/>
    <w:rsid w:val="001A109E"/>
    <w:rsid w:val="001A6E45"/>
    <w:rsid w:val="001C2EF1"/>
    <w:rsid w:val="001E26A3"/>
    <w:rsid w:val="001E625B"/>
    <w:rsid w:val="001F0411"/>
    <w:rsid w:val="00214BFD"/>
    <w:rsid w:val="002315CA"/>
    <w:rsid w:val="002A53C2"/>
    <w:rsid w:val="002C4449"/>
    <w:rsid w:val="0031453F"/>
    <w:rsid w:val="00342D5F"/>
    <w:rsid w:val="00386595"/>
    <w:rsid w:val="00392D4B"/>
    <w:rsid w:val="003B755A"/>
    <w:rsid w:val="00443570"/>
    <w:rsid w:val="004449EE"/>
    <w:rsid w:val="004542C2"/>
    <w:rsid w:val="00461BB6"/>
    <w:rsid w:val="00463C85"/>
    <w:rsid w:val="004735EA"/>
    <w:rsid w:val="004924EC"/>
    <w:rsid w:val="0049319C"/>
    <w:rsid w:val="004A469F"/>
    <w:rsid w:val="004B6712"/>
    <w:rsid w:val="004C084F"/>
    <w:rsid w:val="004C2700"/>
    <w:rsid w:val="004E5F2A"/>
    <w:rsid w:val="005370C2"/>
    <w:rsid w:val="00553B86"/>
    <w:rsid w:val="0057161C"/>
    <w:rsid w:val="00581F77"/>
    <w:rsid w:val="00582840"/>
    <w:rsid w:val="005A7D73"/>
    <w:rsid w:val="0063222D"/>
    <w:rsid w:val="00671D21"/>
    <w:rsid w:val="006E0FCF"/>
    <w:rsid w:val="0076203B"/>
    <w:rsid w:val="00770C28"/>
    <w:rsid w:val="007B346F"/>
    <w:rsid w:val="007C0C99"/>
    <w:rsid w:val="007F5658"/>
    <w:rsid w:val="00806BCE"/>
    <w:rsid w:val="008234E2"/>
    <w:rsid w:val="008263E5"/>
    <w:rsid w:val="00857DEC"/>
    <w:rsid w:val="00871DA8"/>
    <w:rsid w:val="008A4C18"/>
    <w:rsid w:val="008C508A"/>
    <w:rsid w:val="00977C0F"/>
    <w:rsid w:val="00987E5D"/>
    <w:rsid w:val="009E7AF3"/>
    <w:rsid w:val="00A15627"/>
    <w:rsid w:val="00A26445"/>
    <w:rsid w:val="00A331B9"/>
    <w:rsid w:val="00A412FB"/>
    <w:rsid w:val="00A7283A"/>
    <w:rsid w:val="00A769C5"/>
    <w:rsid w:val="00A9691F"/>
    <w:rsid w:val="00AB5D2A"/>
    <w:rsid w:val="00AF552F"/>
    <w:rsid w:val="00B253C4"/>
    <w:rsid w:val="00B356D0"/>
    <w:rsid w:val="00B37404"/>
    <w:rsid w:val="00B54D1D"/>
    <w:rsid w:val="00B819D1"/>
    <w:rsid w:val="00B84CB0"/>
    <w:rsid w:val="00BE5B97"/>
    <w:rsid w:val="00C112DA"/>
    <w:rsid w:val="00C14615"/>
    <w:rsid w:val="00C248A3"/>
    <w:rsid w:val="00C37A80"/>
    <w:rsid w:val="00C425C0"/>
    <w:rsid w:val="00D061E2"/>
    <w:rsid w:val="00D34137"/>
    <w:rsid w:val="00E12A55"/>
    <w:rsid w:val="00E42CF0"/>
    <w:rsid w:val="00E55ED5"/>
    <w:rsid w:val="00E613AF"/>
    <w:rsid w:val="00E801D1"/>
    <w:rsid w:val="00E825F8"/>
    <w:rsid w:val="00E83CA1"/>
    <w:rsid w:val="00E9335D"/>
    <w:rsid w:val="00EE0598"/>
    <w:rsid w:val="00EF0C4E"/>
    <w:rsid w:val="00EF2A76"/>
    <w:rsid w:val="00EF3348"/>
    <w:rsid w:val="00F17561"/>
    <w:rsid w:val="00F43C29"/>
    <w:rsid w:val="00F96533"/>
    <w:rsid w:val="00FC49E2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263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263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8263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263E5"/>
    <w:rPr>
      <w:rFonts w:ascii="Calibri" w:eastAsia="Calibri" w:hAnsi="Calibri" w:cs="Times New Roman"/>
    </w:rPr>
  </w:style>
  <w:style w:type="character" w:styleId="PageNumber">
    <w:name w:val="page number"/>
    <w:rsid w:val="008263E5"/>
  </w:style>
  <w:style w:type="character" w:customStyle="1" w:styleId="apple-converted-space">
    <w:name w:val="apple-converted-space"/>
    <w:rsid w:val="008263E5"/>
  </w:style>
  <w:style w:type="character" w:customStyle="1" w:styleId="hps">
    <w:name w:val="hps"/>
    <w:rsid w:val="008263E5"/>
  </w:style>
  <w:style w:type="character" w:customStyle="1" w:styleId="shorttext">
    <w:name w:val="short_text"/>
    <w:rsid w:val="008263E5"/>
  </w:style>
  <w:style w:type="paragraph" w:customStyle="1" w:styleId="a">
    <w:name w:val="Абзац списка"/>
    <w:basedOn w:val="Normal"/>
    <w:uiPriority w:val="34"/>
    <w:qFormat/>
    <w:rsid w:val="008263E5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3E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34E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234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7283A"/>
    <w:rPr>
      <w:color w:val="0000FF"/>
      <w:u w:val="single"/>
    </w:rPr>
  </w:style>
  <w:style w:type="paragraph" w:styleId="NoSpacing">
    <w:name w:val="No Spacing"/>
    <w:uiPriority w:val="1"/>
    <w:qFormat/>
    <w:rsid w:val="004E5F2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Ghenadie</dc:creator>
  <cp:lastModifiedBy>User</cp:lastModifiedBy>
  <cp:revision>17</cp:revision>
  <cp:lastPrinted>2017-05-05T11:38:00Z</cp:lastPrinted>
  <dcterms:created xsi:type="dcterms:W3CDTF">2017-11-20T07:22:00Z</dcterms:created>
  <dcterms:modified xsi:type="dcterms:W3CDTF">2018-10-10T23:14:00Z</dcterms:modified>
</cp:coreProperties>
</file>